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07" w:rsidRPr="00C96307" w:rsidRDefault="00251285" w:rsidP="00C9630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4B49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:rsidR="00C96307" w:rsidRPr="00C96307" w:rsidRDefault="00C96307" w:rsidP="00C9630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6307"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</w:p>
    <w:p w:rsidR="00C96307" w:rsidRPr="00C96307" w:rsidRDefault="00C96307" w:rsidP="00C9630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6307">
        <w:rPr>
          <w:rFonts w:ascii="Times New Roman" w:hAnsi="Times New Roman" w:cs="Times New Roman"/>
          <w:i/>
          <w:iCs/>
          <w:sz w:val="24"/>
          <w:szCs w:val="24"/>
        </w:rPr>
        <w:t xml:space="preserve">SP-IV.271.5.2020.RK </w:t>
      </w:r>
    </w:p>
    <w:p w:rsidR="007D6FC8" w:rsidRPr="00154B49" w:rsidRDefault="00C96307" w:rsidP="00C9630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6307">
        <w:rPr>
          <w:rFonts w:ascii="Times New Roman" w:hAnsi="Times New Roman" w:cs="Times New Roman"/>
          <w:i/>
          <w:iCs/>
          <w:sz w:val="24"/>
          <w:szCs w:val="24"/>
        </w:rPr>
        <w:t>z dnia 28.12.2020 r.</w:t>
      </w:r>
    </w:p>
    <w:p w:rsidR="00251285" w:rsidRPr="00154B49" w:rsidRDefault="00251285" w:rsidP="00793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49">
        <w:rPr>
          <w:rFonts w:ascii="Times New Roman" w:hAnsi="Times New Roman" w:cs="Times New Roman"/>
          <w:b/>
          <w:bCs/>
          <w:sz w:val="24"/>
          <w:szCs w:val="24"/>
        </w:rPr>
        <w:t>UMOWA NR …………………</w:t>
      </w:r>
    </w:p>
    <w:p w:rsidR="00251285" w:rsidRPr="00154B49" w:rsidRDefault="00251285" w:rsidP="00793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49">
        <w:rPr>
          <w:rFonts w:ascii="Times New Roman" w:hAnsi="Times New Roman" w:cs="Times New Roman"/>
          <w:b/>
          <w:bCs/>
          <w:sz w:val="24"/>
          <w:szCs w:val="24"/>
        </w:rPr>
        <w:t>w sprawie wykonywania czynności związanych ze stwierdzeniem</w:t>
      </w:r>
    </w:p>
    <w:p w:rsidR="00251285" w:rsidRDefault="00251285" w:rsidP="00793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49">
        <w:rPr>
          <w:rFonts w:ascii="Times New Roman" w:hAnsi="Times New Roman" w:cs="Times New Roman"/>
          <w:b/>
          <w:bCs/>
          <w:sz w:val="24"/>
          <w:szCs w:val="24"/>
        </w:rPr>
        <w:t>zgonu i jego przyczyny oraz wystawianiem kart zgonu</w:t>
      </w:r>
    </w:p>
    <w:p w:rsidR="00793C66" w:rsidRPr="00154B49" w:rsidRDefault="00793C66" w:rsidP="00793C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285" w:rsidRPr="00154B49" w:rsidRDefault="00251285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zawarta pomiędzy</w:t>
      </w:r>
    </w:p>
    <w:p w:rsidR="00793C66" w:rsidRPr="00793C66" w:rsidRDefault="00793C66" w:rsidP="00793C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C66">
        <w:rPr>
          <w:rFonts w:ascii="Times New Roman" w:hAnsi="Times New Roman" w:cs="Times New Roman"/>
          <w:b/>
          <w:bCs/>
          <w:sz w:val="24"/>
          <w:szCs w:val="24"/>
        </w:rPr>
        <w:t>Powiatem Sokólskim, z siedzibą władz w Sokółce, ul. Marsz. J. Piłsudskiego 8, 16 - 100 </w:t>
      </w:r>
      <w:r w:rsidR="0026255E" w:rsidRPr="00793C66">
        <w:rPr>
          <w:rFonts w:ascii="Times New Roman" w:hAnsi="Times New Roman" w:cs="Times New Roman"/>
          <w:b/>
          <w:bCs/>
          <w:sz w:val="24"/>
          <w:szCs w:val="24"/>
        </w:rPr>
        <w:t>Sokółka, reprezentowanym</w:t>
      </w:r>
      <w:r w:rsidRPr="00793C66">
        <w:rPr>
          <w:rFonts w:ascii="Times New Roman" w:hAnsi="Times New Roman" w:cs="Times New Roman"/>
          <w:b/>
          <w:bCs/>
          <w:sz w:val="24"/>
          <w:szCs w:val="24"/>
        </w:rPr>
        <w:t xml:space="preserve"> przez Zarząd Powiatu Sokólskiego, w osobach: </w:t>
      </w:r>
    </w:p>
    <w:p w:rsidR="00793C66" w:rsidRPr="00793C66" w:rsidRDefault="00793C66" w:rsidP="00793C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C66">
        <w:rPr>
          <w:rFonts w:ascii="Times New Roman" w:hAnsi="Times New Roman" w:cs="Times New Roman"/>
          <w:b/>
          <w:bCs/>
          <w:sz w:val="24"/>
          <w:szCs w:val="24"/>
        </w:rPr>
        <w:t xml:space="preserve">    1. Piotr Rećko – Starosta Sokólski,</w:t>
      </w:r>
    </w:p>
    <w:p w:rsidR="00793C66" w:rsidRPr="00793C66" w:rsidRDefault="00793C66" w:rsidP="00793C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C66">
        <w:rPr>
          <w:rFonts w:ascii="Times New Roman" w:hAnsi="Times New Roman" w:cs="Times New Roman"/>
          <w:b/>
          <w:bCs/>
          <w:sz w:val="24"/>
          <w:szCs w:val="24"/>
        </w:rPr>
        <w:t xml:space="preserve">    2. Jerzy Białomyzy –</w:t>
      </w:r>
      <w:r w:rsidR="00C96307">
        <w:rPr>
          <w:rFonts w:ascii="Times New Roman" w:hAnsi="Times New Roman" w:cs="Times New Roman"/>
          <w:b/>
          <w:bCs/>
          <w:sz w:val="24"/>
          <w:szCs w:val="24"/>
        </w:rPr>
        <w:t xml:space="preserve"> Wicestarosta Sokólski</w:t>
      </w:r>
      <w:r w:rsidRPr="00793C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51285" w:rsidRPr="00154B49" w:rsidRDefault="00793C66" w:rsidP="00793C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3C66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Anny Jolanty </w:t>
      </w:r>
      <w:r w:rsidR="001652D9">
        <w:rPr>
          <w:rFonts w:ascii="Times New Roman" w:hAnsi="Times New Roman" w:cs="Times New Roman"/>
          <w:b/>
          <w:bCs/>
          <w:sz w:val="24"/>
          <w:szCs w:val="24"/>
        </w:rPr>
        <w:t>Piszczatowskiej</w:t>
      </w:r>
      <w:r w:rsidRPr="00793C66">
        <w:rPr>
          <w:rFonts w:ascii="Times New Roman" w:hAnsi="Times New Roman" w:cs="Times New Roman"/>
          <w:b/>
          <w:bCs/>
          <w:sz w:val="24"/>
          <w:szCs w:val="24"/>
        </w:rPr>
        <w:t xml:space="preserve"> – Skarbnika Powiatu Sokólskiego </w:t>
      </w:r>
      <w:r w:rsidR="00251285" w:rsidRPr="00154B49">
        <w:rPr>
          <w:rFonts w:ascii="Times New Roman" w:hAnsi="Times New Roman" w:cs="Times New Roman"/>
          <w:sz w:val="24"/>
          <w:szCs w:val="24"/>
        </w:rPr>
        <w:t>zwanym w umowie „Zamawiającym”,</w:t>
      </w:r>
    </w:p>
    <w:p w:rsidR="007D6FC8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1285" w:rsidRPr="00154B49" w:rsidRDefault="00251285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a</w:t>
      </w:r>
    </w:p>
    <w:p w:rsidR="007D6FC8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1285" w:rsidRPr="00154B49" w:rsidRDefault="00251285" w:rsidP="007D6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Nazwa </w:t>
      </w:r>
      <w:r w:rsidR="007D6FC8">
        <w:rPr>
          <w:rFonts w:ascii="Times New Roman" w:hAnsi="Times New Roman" w:cs="Times New Roman"/>
          <w:sz w:val="24"/>
          <w:szCs w:val="24"/>
        </w:rPr>
        <w:t>……</w:t>
      </w:r>
      <w:r w:rsidRPr="00154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D6FC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154B49">
        <w:rPr>
          <w:rFonts w:ascii="Times New Roman" w:hAnsi="Times New Roman" w:cs="Times New Roman"/>
          <w:sz w:val="24"/>
          <w:szCs w:val="24"/>
        </w:rPr>
        <w:t>; Adres ………</w:t>
      </w:r>
      <w:r w:rsidR="007D6FC8">
        <w:rPr>
          <w:rFonts w:ascii="Times New Roman" w:hAnsi="Times New Roman" w:cs="Times New Roman"/>
          <w:sz w:val="24"/>
          <w:szCs w:val="24"/>
        </w:rPr>
        <w:t>……</w:t>
      </w:r>
      <w:r w:rsidRPr="00154B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D6FC8">
        <w:rPr>
          <w:rFonts w:ascii="Times New Roman" w:hAnsi="Times New Roman" w:cs="Times New Roman"/>
          <w:sz w:val="24"/>
          <w:szCs w:val="24"/>
        </w:rPr>
        <w:t>…………………………………….. ;</w:t>
      </w:r>
    </w:p>
    <w:p w:rsidR="00251285" w:rsidRPr="00154B49" w:rsidRDefault="00251285" w:rsidP="007D6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NIP……………………………………… Regon…………………………………………</w:t>
      </w:r>
    </w:p>
    <w:p w:rsidR="00251285" w:rsidRPr="00154B49" w:rsidRDefault="00251285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51285" w:rsidRPr="00154B49" w:rsidRDefault="00251285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łącznie zwanymi dalej </w:t>
      </w:r>
      <w:r w:rsidRPr="00154B49">
        <w:rPr>
          <w:rFonts w:ascii="Times New Roman" w:hAnsi="Times New Roman" w:cs="Times New Roman"/>
          <w:i/>
          <w:iCs/>
          <w:sz w:val="24"/>
          <w:szCs w:val="24"/>
        </w:rPr>
        <w:t>„Stronami"</w:t>
      </w:r>
    </w:p>
    <w:p w:rsidR="007D6FC8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1285" w:rsidRPr="00154B49" w:rsidRDefault="0025128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Strony działając w trybie art. 4 pkt 8 ustawy z dnia 29 stycznia 2004 r. Prawo zamówień</w:t>
      </w:r>
      <w:r w:rsidR="005E6EB6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publicznych (Dz. U. z 2019</w:t>
      </w:r>
      <w:r w:rsidR="00954BBE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r. poz. 1843 ze zm.), zawierają umowę o następującej treści:</w:t>
      </w:r>
    </w:p>
    <w:p w:rsidR="00251285" w:rsidRPr="00154B49" w:rsidRDefault="00251285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 1.</w:t>
      </w:r>
    </w:p>
    <w:p w:rsidR="005E6EB6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51285" w:rsidRPr="00154B49">
        <w:rPr>
          <w:rFonts w:ascii="Times New Roman" w:hAnsi="Times New Roman" w:cs="Times New Roman"/>
          <w:sz w:val="24"/>
          <w:szCs w:val="24"/>
        </w:rPr>
        <w:t>Przedmiotem umowy jest świadczenie usługi w postaci stwierdzenia zgonu, jego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przyczyny oraz wystawienia karty zgonu osobom zmarłym na terenie powiatu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sokólskiego</w:t>
      </w:r>
      <w:r w:rsidR="00251285" w:rsidRPr="00154B49">
        <w:rPr>
          <w:rFonts w:ascii="Times New Roman" w:hAnsi="Times New Roman" w:cs="Times New Roman"/>
          <w:sz w:val="24"/>
          <w:szCs w:val="24"/>
        </w:rPr>
        <w:t>, wskazanych Wykonawcy przez funkcjonariuszy Komendy Powiatowej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 xml:space="preserve">Policji w </w:t>
      </w:r>
      <w:r>
        <w:rPr>
          <w:rFonts w:ascii="Times New Roman" w:hAnsi="Times New Roman" w:cs="Times New Roman"/>
          <w:sz w:val="24"/>
          <w:szCs w:val="24"/>
        </w:rPr>
        <w:t>Sokółce.</w:t>
      </w:r>
    </w:p>
    <w:p w:rsidR="00251285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51285" w:rsidRPr="00154B49">
        <w:rPr>
          <w:rFonts w:ascii="Times New Roman" w:hAnsi="Times New Roman" w:cs="Times New Roman"/>
          <w:sz w:val="24"/>
          <w:szCs w:val="24"/>
        </w:rPr>
        <w:t>W sytuacjach wyjątkowych wykonanie usługi może również zlecić sam Zamawiający.</w:t>
      </w:r>
    </w:p>
    <w:p w:rsidR="00251285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51285" w:rsidRPr="00154B49">
        <w:rPr>
          <w:rFonts w:ascii="Times New Roman" w:hAnsi="Times New Roman" w:cs="Times New Roman"/>
          <w:sz w:val="24"/>
          <w:szCs w:val="24"/>
        </w:rPr>
        <w:t>Realizacja umowy dotyczy przypadków, gdy funkcjonariusz Komendy Powiatowej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 xml:space="preserve">Policji w </w:t>
      </w:r>
      <w:r>
        <w:rPr>
          <w:rFonts w:ascii="Times New Roman" w:hAnsi="Times New Roman" w:cs="Times New Roman"/>
          <w:sz w:val="24"/>
          <w:szCs w:val="24"/>
        </w:rPr>
        <w:t xml:space="preserve">Sokółce </w:t>
      </w:r>
      <w:r w:rsidR="00251285" w:rsidRPr="00154B49">
        <w:rPr>
          <w:rFonts w:ascii="Times New Roman" w:hAnsi="Times New Roman" w:cs="Times New Roman"/>
          <w:sz w:val="24"/>
          <w:szCs w:val="24"/>
        </w:rPr>
        <w:t>będący na miejscu zdarzenia, w którym znajdują się zwłoki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podejmie informację o </w:t>
      </w:r>
      <w:r w:rsidR="00251285" w:rsidRPr="00154B49">
        <w:rPr>
          <w:rFonts w:ascii="Times New Roman" w:hAnsi="Times New Roman" w:cs="Times New Roman"/>
          <w:sz w:val="24"/>
          <w:szCs w:val="24"/>
        </w:rPr>
        <w:t>potrzebie stwierdzenia zgonu i nie będzie mógł ustalić lekarza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podstawowej opieki zdrowotnej, sprawującego opiekę medyczną nad zmarłym lub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lekarza leczącego chorego w </w:t>
      </w:r>
      <w:r w:rsidR="00251285" w:rsidRPr="00154B49">
        <w:rPr>
          <w:rFonts w:ascii="Times New Roman" w:hAnsi="Times New Roman" w:cs="Times New Roman"/>
          <w:sz w:val="24"/>
          <w:szCs w:val="24"/>
        </w:rPr>
        <w:t>ostatniej chorobie, odpowiadającego za stwierdzenie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zgonu.</w:t>
      </w:r>
    </w:p>
    <w:p w:rsidR="00251285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251285" w:rsidRPr="00154B49">
        <w:rPr>
          <w:rFonts w:ascii="Times New Roman" w:hAnsi="Times New Roman" w:cs="Times New Roman"/>
          <w:sz w:val="24"/>
          <w:szCs w:val="24"/>
        </w:rPr>
        <w:t>Karta zgonu powinna być wypełniona przez Wykonawcę na obowiązującym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ustawowo druku.</w:t>
      </w:r>
    </w:p>
    <w:p w:rsidR="007D6FC8" w:rsidRDefault="005E6EB6" w:rsidP="002625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251285" w:rsidRPr="00154B49">
        <w:rPr>
          <w:rFonts w:ascii="Times New Roman" w:hAnsi="Times New Roman" w:cs="Times New Roman"/>
          <w:sz w:val="24"/>
          <w:szCs w:val="24"/>
        </w:rPr>
        <w:t>Wykonanie czynności, o których mowa w ust. l należy potwierdzić w formularzu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stanowiącym załącznik do niniejszej umowy i przedłożyć Zamawiającemu wraz z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251285" w:rsidRPr="00154B49">
        <w:rPr>
          <w:rFonts w:ascii="Times New Roman" w:hAnsi="Times New Roman" w:cs="Times New Roman"/>
          <w:sz w:val="24"/>
          <w:szCs w:val="24"/>
        </w:rPr>
        <w:t>fakturą.</w:t>
      </w:r>
    </w:p>
    <w:p w:rsidR="00251285" w:rsidRPr="00154B49" w:rsidRDefault="00251285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 2.</w:t>
      </w:r>
    </w:p>
    <w:p w:rsidR="00251285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51285" w:rsidRPr="00154B49">
        <w:rPr>
          <w:rFonts w:ascii="Times New Roman" w:hAnsi="Times New Roman" w:cs="Times New Roman"/>
          <w:sz w:val="24"/>
          <w:szCs w:val="24"/>
        </w:rPr>
        <w:t xml:space="preserve">Wzajemne zobowiązanie powstawać będzie każdorazowo w momencie </w:t>
      </w:r>
      <w:r w:rsidR="0026255E" w:rsidRPr="00154B49">
        <w:rPr>
          <w:rFonts w:ascii="Times New Roman" w:hAnsi="Times New Roman" w:cs="Times New Roman"/>
          <w:sz w:val="24"/>
          <w:szCs w:val="24"/>
        </w:rPr>
        <w:t>przyjęcia</w:t>
      </w:r>
      <w:r w:rsidR="0026255E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251285" w:rsidRPr="00154B49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F8245B" w:rsidRPr="00154B49" w:rsidRDefault="00251285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E6EB6">
        <w:rPr>
          <w:rFonts w:ascii="Times New Roman" w:hAnsi="Times New Roman" w:cs="Times New Roman"/>
          <w:sz w:val="24"/>
          <w:szCs w:val="24"/>
        </w:rPr>
        <w:t> </w:t>
      </w:r>
      <w:r w:rsidRPr="00154B49">
        <w:rPr>
          <w:rFonts w:ascii="Times New Roman" w:hAnsi="Times New Roman" w:cs="Times New Roman"/>
          <w:sz w:val="24"/>
          <w:szCs w:val="24"/>
        </w:rPr>
        <w:t>Wykonawca zapewni całodobowe wykonywanie czynności będących przedmiotem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 xml:space="preserve">zamówienia, przy </w:t>
      </w:r>
      <w:r w:rsidR="0026255E" w:rsidRPr="00154B49">
        <w:rPr>
          <w:rFonts w:ascii="Times New Roman" w:hAnsi="Times New Roman" w:cs="Times New Roman"/>
          <w:sz w:val="24"/>
          <w:szCs w:val="24"/>
        </w:rPr>
        <w:t>założeniu, że</w:t>
      </w:r>
      <w:r w:rsidRPr="00154B49">
        <w:rPr>
          <w:rFonts w:ascii="Times New Roman" w:hAnsi="Times New Roman" w:cs="Times New Roman"/>
          <w:sz w:val="24"/>
          <w:szCs w:val="24"/>
        </w:rPr>
        <w:t xml:space="preserve"> czas realizacji usługi wynosi do </w:t>
      </w:r>
      <w:r w:rsidR="00C96307">
        <w:rPr>
          <w:rFonts w:ascii="Times New Roman" w:hAnsi="Times New Roman" w:cs="Times New Roman"/>
          <w:sz w:val="24"/>
          <w:szCs w:val="24"/>
        </w:rPr>
        <w:t xml:space="preserve">4 </w:t>
      </w:r>
      <w:r w:rsidRPr="00154B49">
        <w:rPr>
          <w:rFonts w:ascii="Times New Roman" w:hAnsi="Times New Roman" w:cs="Times New Roman"/>
          <w:sz w:val="24"/>
          <w:szCs w:val="24"/>
        </w:rPr>
        <w:t>godzin od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momentu wezwania;</w:t>
      </w:r>
    </w:p>
    <w:p w:rsidR="00154B49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154B49" w:rsidRPr="00154B49">
        <w:rPr>
          <w:rFonts w:ascii="Times New Roman" w:hAnsi="Times New Roman" w:cs="Times New Roman"/>
          <w:sz w:val="24"/>
          <w:szCs w:val="24"/>
        </w:rPr>
        <w:t xml:space="preserve">W przypadku niemożności wykonania usługi do </w:t>
      </w:r>
      <w:r w:rsidR="00C96307">
        <w:rPr>
          <w:rFonts w:ascii="Times New Roman" w:hAnsi="Times New Roman" w:cs="Times New Roman"/>
          <w:sz w:val="24"/>
          <w:szCs w:val="24"/>
        </w:rPr>
        <w:t xml:space="preserve">4 </w:t>
      </w:r>
      <w:r w:rsidR="00154B49" w:rsidRPr="00154B49">
        <w:rPr>
          <w:rFonts w:ascii="Times New Roman" w:hAnsi="Times New Roman" w:cs="Times New Roman"/>
          <w:sz w:val="24"/>
          <w:szCs w:val="24"/>
        </w:rPr>
        <w:t>godzin od chwili wezwania przez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 xml:space="preserve">przedstawiciela Komendy Powiatowej Policji w </w:t>
      </w:r>
      <w:r>
        <w:rPr>
          <w:rFonts w:ascii="Times New Roman" w:hAnsi="Times New Roman" w:cs="Times New Roman"/>
          <w:sz w:val="24"/>
          <w:szCs w:val="24"/>
        </w:rPr>
        <w:t>Sokółce</w:t>
      </w:r>
      <w:r w:rsidR="00154B49" w:rsidRPr="00154B49">
        <w:rPr>
          <w:rFonts w:ascii="Times New Roman" w:hAnsi="Times New Roman" w:cs="Times New Roman"/>
          <w:sz w:val="24"/>
          <w:szCs w:val="24"/>
        </w:rPr>
        <w:t xml:space="preserve"> Wykonawca zapewni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zastępstwo celem wystawienia karty zgonu przez inną osobę posiadającą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odpowiednie uprawnienia.</w:t>
      </w:r>
    </w:p>
    <w:p w:rsidR="00154B49" w:rsidRPr="00154B49" w:rsidRDefault="005E6EB6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154B49" w:rsidRPr="00154B49">
        <w:rPr>
          <w:rFonts w:ascii="Times New Roman" w:hAnsi="Times New Roman" w:cs="Times New Roman"/>
          <w:sz w:val="24"/>
          <w:szCs w:val="24"/>
        </w:rPr>
        <w:t>Zgłoszenia ustne będą przekazywane Wykonawcy telefonic</w:t>
      </w:r>
      <w:r w:rsidR="007D6FC8">
        <w:rPr>
          <w:rFonts w:ascii="Times New Roman" w:hAnsi="Times New Roman" w:cs="Times New Roman"/>
          <w:sz w:val="24"/>
          <w:szCs w:val="24"/>
        </w:rPr>
        <w:t>z</w:t>
      </w:r>
      <w:r w:rsidR="00154B49" w:rsidRPr="00154B49">
        <w:rPr>
          <w:rFonts w:ascii="Times New Roman" w:hAnsi="Times New Roman" w:cs="Times New Roman"/>
          <w:sz w:val="24"/>
          <w:szCs w:val="24"/>
        </w:rPr>
        <w:t>nie pod numer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………..……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4B49" w:rsidRPr="00154B49" w:rsidRDefault="00154B49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 3.</w:t>
      </w:r>
    </w:p>
    <w:p w:rsidR="00154B49" w:rsidRPr="00154B49" w:rsidRDefault="00154B49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1. Strony ustalają wynagrodzenie za wykonanie przedmiotu umowy w kwocie:……………..zł brutto za jedną zrealizowaną usługę polegającą na stwierdzeniu</w:t>
      </w:r>
      <w:r w:rsidR="007D6FC8">
        <w:rPr>
          <w:rFonts w:ascii="Times New Roman" w:hAnsi="Times New Roman" w:cs="Times New Roman"/>
          <w:sz w:val="24"/>
          <w:szCs w:val="24"/>
        </w:rPr>
        <w:t xml:space="preserve"> zgonu, ustaleniu przyczyny </w:t>
      </w:r>
      <w:r w:rsidRPr="00154B49">
        <w:rPr>
          <w:rFonts w:ascii="Times New Roman" w:hAnsi="Times New Roman" w:cs="Times New Roman"/>
          <w:sz w:val="24"/>
          <w:szCs w:val="24"/>
        </w:rPr>
        <w:t>zgonu i wystawieniu karty zgonu.</w:t>
      </w:r>
    </w:p>
    <w:p w:rsidR="00154B49" w:rsidRPr="00154B49" w:rsidRDefault="00154B49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2. Wynagrodzenie ryczałtowe należne wykonawcy z tytułu wykonania przedmiotu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niniejszej umowy zawiera wszystkie koszty prawidłowego zrealizowania pełnego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zakresu rzeczowego, ilościowego i jakościowego przedmiotu niniejszej umowy.</w:t>
      </w:r>
    </w:p>
    <w:p w:rsidR="00154B49" w:rsidRPr="00154B49" w:rsidRDefault="00154B49" w:rsidP="007D6F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3. Wynagrodzenie z tytułu realizacji umowy będzie wypłacone Wykonawcy przelewem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na rachunek bankowy wskazany na fakturze (numer rachunku bankowego na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fakturze VAT, na który będzie dokonywana zapłata ma być zgłoszony do wykazu kont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bankowych w Urzędzie Skarbowym pod rygorem odmowy zapłaty) w terminie 14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dni od daty przedłożenia oprawnie wystawionego rachunku/faktury VAT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wystawionego / wystawionej na:</w:t>
      </w:r>
    </w:p>
    <w:p w:rsidR="007D6FC8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B49" w:rsidRPr="00154B49" w:rsidRDefault="00154B49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B49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B49">
        <w:rPr>
          <w:rFonts w:ascii="Times New Roman" w:hAnsi="Times New Roman" w:cs="Times New Roman"/>
          <w:b/>
          <w:bCs/>
          <w:sz w:val="24"/>
          <w:szCs w:val="24"/>
        </w:rPr>
        <w:t>ODBIORCA:</w:t>
      </w:r>
    </w:p>
    <w:p w:rsidR="00154B49" w:rsidRPr="00154B49" w:rsidRDefault="00154B49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Powiat </w:t>
      </w:r>
      <w:r w:rsidR="007D6FC8">
        <w:rPr>
          <w:rFonts w:ascii="Times New Roman" w:hAnsi="Times New Roman" w:cs="Times New Roman"/>
          <w:sz w:val="24"/>
          <w:szCs w:val="24"/>
        </w:rPr>
        <w:t>Sokólski</w:t>
      </w:r>
      <w:r w:rsidRPr="00154B49">
        <w:rPr>
          <w:rFonts w:ascii="Times New Roman" w:hAnsi="Times New Roman" w:cs="Times New Roman"/>
          <w:sz w:val="24"/>
          <w:szCs w:val="24"/>
        </w:rPr>
        <w:t xml:space="preserve"> </w:t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Pr="00154B49">
        <w:rPr>
          <w:rFonts w:ascii="Times New Roman" w:hAnsi="Times New Roman" w:cs="Times New Roman"/>
          <w:sz w:val="24"/>
          <w:szCs w:val="24"/>
        </w:rPr>
        <w:t xml:space="preserve">Starostwo Powiatowe w </w:t>
      </w:r>
      <w:r w:rsidR="007D6FC8">
        <w:rPr>
          <w:rFonts w:ascii="Times New Roman" w:hAnsi="Times New Roman" w:cs="Times New Roman"/>
          <w:sz w:val="24"/>
          <w:szCs w:val="24"/>
        </w:rPr>
        <w:t>Sokółce</w:t>
      </w:r>
    </w:p>
    <w:p w:rsidR="007D6FC8" w:rsidRDefault="0026255E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Marszałka J</w:t>
      </w:r>
      <w:r w:rsidR="007D6FC8">
        <w:rPr>
          <w:rFonts w:ascii="Times New Roman" w:hAnsi="Times New Roman" w:cs="Times New Roman"/>
          <w:sz w:val="24"/>
          <w:szCs w:val="24"/>
        </w:rPr>
        <w:t xml:space="preserve">ózefa Piłsudskiego 8 </w:t>
      </w:r>
      <w:r w:rsidR="007D6FC8"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FC8">
        <w:rPr>
          <w:rFonts w:ascii="Times New Roman" w:hAnsi="Times New Roman" w:cs="Times New Roman"/>
          <w:sz w:val="24"/>
          <w:szCs w:val="24"/>
        </w:rPr>
        <w:t xml:space="preserve">ul. Marszałka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D6FC8">
        <w:rPr>
          <w:rFonts w:ascii="Times New Roman" w:hAnsi="Times New Roman" w:cs="Times New Roman"/>
          <w:sz w:val="24"/>
          <w:szCs w:val="24"/>
        </w:rPr>
        <w:t>ózefa Piłsudskiego 8</w:t>
      </w:r>
    </w:p>
    <w:p w:rsidR="00154B49" w:rsidRPr="00154B49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16-100 Sokółka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16-100 Sokółka</w:t>
      </w:r>
    </w:p>
    <w:p w:rsidR="00154B49" w:rsidRPr="00154B49" w:rsidRDefault="00154B49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NIP: </w:t>
      </w:r>
      <w:r w:rsidR="007D6FC8">
        <w:rPr>
          <w:rFonts w:ascii="Times New Roman" w:hAnsi="Times New Roman" w:cs="Times New Roman"/>
          <w:sz w:val="24"/>
          <w:szCs w:val="24"/>
        </w:rPr>
        <w:t>545 181 63 73</w:t>
      </w:r>
    </w:p>
    <w:p w:rsidR="007D6FC8" w:rsidRDefault="007D6FC8" w:rsidP="00154B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wraz z wypełnionym i podpisanym formularzem</w:t>
      </w:r>
      <w:r w:rsidR="0026255E">
        <w:rPr>
          <w:rFonts w:ascii="Times New Roman" w:hAnsi="Times New Roman" w:cs="Times New Roman"/>
          <w:sz w:val="24"/>
          <w:szCs w:val="24"/>
        </w:rPr>
        <w:t>, którego wzór stanowi</w:t>
      </w:r>
      <w:bookmarkStart w:id="0" w:name="_GoBack"/>
      <w:bookmarkEnd w:id="0"/>
      <w:r w:rsidRPr="00154B49">
        <w:rPr>
          <w:rFonts w:ascii="Times New Roman" w:hAnsi="Times New Roman" w:cs="Times New Roman"/>
          <w:sz w:val="24"/>
          <w:szCs w:val="24"/>
        </w:rPr>
        <w:t xml:space="preserve"> załącznik do niniejszej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umowy.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4. Za datę zapłaty przyjmuje się datę obciążenia rachunku bankowego Zamawiającego.</w:t>
      </w:r>
    </w:p>
    <w:p w:rsidR="00154B49" w:rsidRPr="00154B49" w:rsidRDefault="00154B49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 4.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1. Umowę zawiera się na czas określony od </w:t>
      </w:r>
      <w:r w:rsidR="007D6FC8">
        <w:rPr>
          <w:rFonts w:ascii="Times New Roman" w:hAnsi="Times New Roman" w:cs="Times New Roman"/>
          <w:sz w:val="24"/>
          <w:szCs w:val="24"/>
        </w:rPr>
        <w:t>…….……… 2021</w:t>
      </w:r>
      <w:r w:rsidRPr="00154B49">
        <w:rPr>
          <w:rFonts w:ascii="Times New Roman" w:hAnsi="Times New Roman" w:cs="Times New Roman"/>
          <w:sz w:val="24"/>
          <w:szCs w:val="24"/>
        </w:rPr>
        <w:t xml:space="preserve"> roku do </w:t>
      </w:r>
      <w:r w:rsidR="007D6FC8">
        <w:rPr>
          <w:rFonts w:ascii="Times New Roman" w:hAnsi="Times New Roman" w:cs="Times New Roman"/>
          <w:sz w:val="24"/>
          <w:szCs w:val="24"/>
        </w:rPr>
        <w:t>31</w:t>
      </w:r>
      <w:r w:rsidRPr="00154B49">
        <w:rPr>
          <w:rFonts w:ascii="Times New Roman" w:hAnsi="Times New Roman" w:cs="Times New Roman"/>
          <w:sz w:val="24"/>
          <w:szCs w:val="24"/>
        </w:rPr>
        <w:t xml:space="preserve"> </w:t>
      </w:r>
      <w:r w:rsidR="007D6FC8">
        <w:rPr>
          <w:rFonts w:ascii="Times New Roman" w:hAnsi="Times New Roman" w:cs="Times New Roman"/>
          <w:sz w:val="24"/>
          <w:szCs w:val="24"/>
        </w:rPr>
        <w:t xml:space="preserve">grudnia </w:t>
      </w:r>
      <w:r w:rsidRPr="00154B49">
        <w:rPr>
          <w:rFonts w:ascii="Times New Roman" w:hAnsi="Times New Roman" w:cs="Times New Roman"/>
          <w:sz w:val="24"/>
          <w:szCs w:val="24"/>
        </w:rPr>
        <w:t>2023 roku z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zastrzeżeniem ust.2.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2. Niniejsza umowa ulega rozwiązaniu przed upływem terminu wskazanego w ust. 1 w</w:t>
      </w:r>
      <w:r w:rsidR="00954BBE">
        <w:rPr>
          <w:rFonts w:ascii="Times New Roman" w:hAnsi="Times New Roman" w:cs="Times New Roman"/>
          <w:sz w:val="24"/>
          <w:szCs w:val="24"/>
        </w:rPr>
        <w:t> </w:t>
      </w:r>
      <w:r w:rsidRPr="00154B49">
        <w:rPr>
          <w:rFonts w:ascii="Times New Roman" w:hAnsi="Times New Roman" w:cs="Times New Roman"/>
          <w:sz w:val="24"/>
          <w:szCs w:val="24"/>
        </w:rPr>
        <w:t>przypadku wejścia w życie nowych przepisów prawa w sprawie organizacji usług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koronera i przejęcia wykonania tego zadania przez inny podmiot.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3. Strony zastrzegają sobie możliwość zmiany warunków umowy, poza zastrzeżeniem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F34D15">
        <w:rPr>
          <w:rFonts w:ascii="Times New Roman" w:hAnsi="Times New Roman" w:cs="Times New Roman"/>
          <w:sz w:val="24"/>
          <w:szCs w:val="24"/>
        </w:rPr>
        <w:t>w ust. </w:t>
      </w:r>
      <w:r w:rsidRPr="00154B49">
        <w:rPr>
          <w:rFonts w:ascii="Times New Roman" w:hAnsi="Times New Roman" w:cs="Times New Roman"/>
          <w:sz w:val="24"/>
          <w:szCs w:val="24"/>
        </w:rPr>
        <w:t xml:space="preserve">2, w czasie jej </w:t>
      </w:r>
      <w:r w:rsidR="0026255E" w:rsidRPr="00154B49">
        <w:rPr>
          <w:rFonts w:ascii="Times New Roman" w:hAnsi="Times New Roman" w:cs="Times New Roman"/>
          <w:sz w:val="24"/>
          <w:szCs w:val="24"/>
        </w:rPr>
        <w:t>trwania, przy czym</w:t>
      </w:r>
      <w:r w:rsidRPr="00154B49">
        <w:rPr>
          <w:rFonts w:ascii="Times New Roman" w:hAnsi="Times New Roman" w:cs="Times New Roman"/>
          <w:sz w:val="24"/>
          <w:szCs w:val="24"/>
        </w:rPr>
        <w:t xml:space="preserve"> wszelkie te zmiany wymagają formy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pisemnej pod rygorem nieważności.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4. Zamawiającemu przysługuje uprawnienie do rozwiązania niniejszej umowy ze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skutkiem natychmiastowym w przypadku naruszenia przez Wykonawcę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postanowień umowy.</w:t>
      </w:r>
    </w:p>
    <w:p w:rsidR="00154B49" w:rsidRPr="00154B49" w:rsidRDefault="00154B49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 5.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54B49" w:rsidRPr="00154B49">
        <w:rPr>
          <w:rFonts w:ascii="Times New Roman" w:hAnsi="Times New Roman" w:cs="Times New Roman"/>
          <w:sz w:val="24"/>
          <w:szCs w:val="24"/>
        </w:rPr>
        <w:t>Wykonawca ponosi wyłączną odpowiedzialność wobec osób trzecich za szkody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954BBE">
        <w:rPr>
          <w:rFonts w:ascii="Times New Roman" w:hAnsi="Times New Roman" w:cs="Times New Roman"/>
          <w:sz w:val="24"/>
          <w:szCs w:val="24"/>
        </w:rPr>
        <w:t>powstałe w </w:t>
      </w:r>
      <w:r w:rsidR="00154B49" w:rsidRPr="00154B49">
        <w:rPr>
          <w:rFonts w:ascii="Times New Roman" w:hAnsi="Times New Roman" w:cs="Times New Roman"/>
          <w:sz w:val="24"/>
          <w:szCs w:val="24"/>
        </w:rPr>
        <w:t>związku z wykonaniem niniejszej umowy.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154B49" w:rsidRPr="00154B49">
        <w:rPr>
          <w:rFonts w:ascii="Times New Roman" w:hAnsi="Times New Roman" w:cs="Times New Roman"/>
          <w:sz w:val="24"/>
          <w:szCs w:val="24"/>
        </w:rPr>
        <w:t>Niewykonanie lub nienależyte wykonanie umowy przez Wykonawcę obciążone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będzie każdorazowo karą umowną w wysokości 10% wartości wynagrodzenia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954BBE">
        <w:rPr>
          <w:rFonts w:ascii="Times New Roman" w:hAnsi="Times New Roman" w:cs="Times New Roman"/>
          <w:sz w:val="24"/>
          <w:szCs w:val="24"/>
        </w:rPr>
        <w:t>umownego brutto, o </w:t>
      </w:r>
      <w:r w:rsidR="00154B49" w:rsidRPr="00154B49">
        <w:rPr>
          <w:rFonts w:ascii="Times New Roman" w:hAnsi="Times New Roman" w:cs="Times New Roman"/>
          <w:sz w:val="24"/>
          <w:szCs w:val="24"/>
        </w:rPr>
        <w:t>którym mowa w § 3 ust. 1 niniejszej umowy.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154B49" w:rsidRPr="00154B49">
        <w:rPr>
          <w:rFonts w:ascii="Times New Roman" w:hAnsi="Times New Roman" w:cs="Times New Roman"/>
          <w:sz w:val="24"/>
          <w:szCs w:val="24"/>
        </w:rPr>
        <w:t>Kara umowna będzie płatna na podstawie stosownej noty obciążeniowej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wystawionej przez Zamawiającego w terminie 14 dni od daty doręczenia noty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Wykonawcy.</w:t>
      </w:r>
    </w:p>
    <w:p w:rsidR="00154B49" w:rsidRPr="00154B49" w:rsidRDefault="00154B49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4.</w:t>
      </w:r>
      <w:r w:rsidR="00F34D15">
        <w:rPr>
          <w:rFonts w:ascii="Times New Roman" w:hAnsi="Times New Roman" w:cs="Times New Roman"/>
          <w:sz w:val="24"/>
          <w:szCs w:val="24"/>
        </w:rPr>
        <w:t> </w:t>
      </w:r>
      <w:r w:rsidRPr="00154B4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wynagrodzenia.</w:t>
      </w:r>
    </w:p>
    <w:p w:rsidR="00154B49" w:rsidRPr="00154B49" w:rsidRDefault="00F34D15" w:rsidP="002625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154B49" w:rsidRPr="00154B49">
        <w:rPr>
          <w:rFonts w:ascii="Times New Roman" w:hAnsi="Times New Roman" w:cs="Times New Roman"/>
          <w:sz w:val="24"/>
          <w:szCs w:val="24"/>
        </w:rPr>
        <w:t>Jeżeli szkoda przewyższa wysokość kary umownej, Zamawiającemu przysługuje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roszczenie o zapłatę odszkodowania przewyższającego wysokość zastrzeżonych kar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umownych na zasadach ogólnych.</w:t>
      </w:r>
    </w:p>
    <w:p w:rsidR="00154B49" w:rsidRPr="00154B49" w:rsidRDefault="00154B49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§</w:t>
      </w:r>
      <w:r w:rsidR="0026255E">
        <w:rPr>
          <w:rFonts w:ascii="Times New Roman" w:hAnsi="Times New Roman" w:cs="Times New Roman"/>
          <w:sz w:val="24"/>
          <w:szCs w:val="24"/>
        </w:rPr>
        <w:t xml:space="preserve"> 6</w:t>
      </w:r>
      <w:r w:rsidRPr="00154B49">
        <w:rPr>
          <w:rFonts w:ascii="Times New Roman" w:hAnsi="Times New Roman" w:cs="Times New Roman"/>
          <w:sz w:val="24"/>
          <w:szCs w:val="24"/>
        </w:rPr>
        <w:t>.</w:t>
      </w:r>
    </w:p>
    <w:p w:rsidR="007D6FC8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54B49" w:rsidRPr="00154B49">
        <w:rPr>
          <w:rFonts w:ascii="Times New Roman" w:hAnsi="Times New Roman" w:cs="Times New Roman"/>
          <w:sz w:val="24"/>
          <w:szCs w:val="24"/>
        </w:rPr>
        <w:t>Zakazuje się pod rygorem nieważności dokonywania cesji wierzytelności, jak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również zawierania innych umów pod jakimkolwiek tytułem prawnym skutkującym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przeniesieniem wierzytelności na inne podmioty bez pisemnej zgody Zamawiającego.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54B49" w:rsidRPr="00154B49">
        <w:rPr>
          <w:rFonts w:ascii="Times New Roman" w:hAnsi="Times New Roman" w:cs="Times New Roman"/>
          <w:sz w:val="24"/>
          <w:szCs w:val="24"/>
        </w:rPr>
        <w:t>Przeniesienie wierzytelności wynikających z niniejszej umowy lub udzielenie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poręczenia przez osobę trzecią, skutkującego przeniesieniem wierzytelności na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poręczyciela wymaga zgody Zamawiającego.</w:t>
      </w:r>
    </w:p>
    <w:p w:rsidR="00154B49" w:rsidRPr="00154B49" w:rsidRDefault="0026255E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54B49" w:rsidRPr="00154B49">
        <w:rPr>
          <w:rFonts w:ascii="Times New Roman" w:hAnsi="Times New Roman" w:cs="Times New Roman"/>
          <w:sz w:val="24"/>
          <w:szCs w:val="24"/>
        </w:rPr>
        <w:t>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54B49" w:rsidRPr="00154B4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zawarcia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umowy, lub dalsze wykonywanie umowy może zagrozić istotnemu interesowi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bezpieczeństwa państwa lub bezpieczeństwu publicznemu, zamawiający może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odstąpić od umowy w terminie 30 dni od dnia powzięcia wiadomości o tych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okolicznościach. W takim przypadku, wykonawca może żądać wyłącznie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 xml:space="preserve">wynagrodzenia należnego z tytułu wykonania </w:t>
      </w:r>
      <w:r w:rsidR="00954BBE">
        <w:rPr>
          <w:rFonts w:ascii="Times New Roman" w:hAnsi="Times New Roman" w:cs="Times New Roman"/>
          <w:sz w:val="24"/>
          <w:szCs w:val="24"/>
        </w:rPr>
        <w:t>części umowy (art. 145 ust. 1 i </w:t>
      </w:r>
      <w:r w:rsidR="00154B49" w:rsidRPr="00154B49">
        <w:rPr>
          <w:rFonts w:ascii="Times New Roman" w:hAnsi="Times New Roman" w:cs="Times New Roman"/>
          <w:sz w:val="24"/>
          <w:szCs w:val="24"/>
        </w:rPr>
        <w:t>2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ustawy Pzp).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54B49" w:rsidRPr="00154B49">
        <w:rPr>
          <w:rFonts w:ascii="Times New Roman" w:hAnsi="Times New Roman" w:cs="Times New Roman"/>
          <w:sz w:val="24"/>
          <w:szCs w:val="24"/>
        </w:rPr>
        <w:t>W zakresie nieuregulowanym umową stosuje się przepisy Kodeksu Cywilnego (</w:t>
      </w:r>
      <w:r>
        <w:rPr>
          <w:rFonts w:ascii="Times New Roman" w:hAnsi="Times New Roman" w:cs="Times New Roman"/>
          <w:sz w:val="24"/>
          <w:szCs w:val="24"/>
        </w:rPr>
        <w:t>Dz. U. z </w:t>
      </w:r>
      <w:r w:rsidR="00954BBE" w:rsidRPr="00954BBE">
        <w:rPr>
          <w:rFonts w:ascii="Times New Roman" w:hAnsi="Times New Roman" w:cs="Times New Roman"/>
          <w:sz w:val="24"/>
          <w:szCs w:val="24"/>
        </w:rPr>
        <w:t>2020 r. poz. 1740</w:t>
      </w:r>
      <w:r w:rsidR="00154B49" w:rsidRPr="00154B49">
        <w:rPr>
          <w:rFonts w:ascii="Times New Roman" w:hAnsi="Times New Roman" w:cs="Times New Roman"/>
          <w:sz w:val="24"/>
          <w:szCs w:val="24"/>
        </w:rPr>
        <w:t>), ustawy z dnia 15 kwietnia 2011 r. o działalności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leczniczej (</w:t>
      </w:r>
      <w:r>
        <w:rPr>
          <w:rFonts w:ascii="Times New Roman" w:hAnsi="Times New Roman" w:cs="Times New Roman"/>
          <w:sz w:val="24"/>
          <w:szCs w:val="24"/>
        </w:rPr>
        <w:t>Dz. U. z 2020 </w:t>
      </w:r>
      <w:r w:rsidR="00954BBE" w:rsidRPr="00954BBE">
        <w:rPr>
          <w:rFonts w:ascii="Times New Roman" w:hAnsi="Times New Roman" w:cs="Times New Roman"/>
          <w:sz w:val="24"/>
          <w:szCs w:val="24"/>
        </w:rPr>
        <w:t>r. poz. 295 z późn. zm.</w:t>
      </w:r>
      <w:r w:rsidR="00154B49" w:rsidRPr="00154B49">
        <w:rPr>
          <w:rFonts w:ascii="Times New Roman" w:hAnsi="Times New Roman" w:cs="Times New Roman"/>
          <w:sz w:val="24"/>
          <w:szCs w:val="24"/>
        </w:rPr>
        <w:t>), ustawy z dnia 5 grudnia 1996 r. o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zawodach lekarza i lekarza dentysty (</w:t>
      </w:r>
      <w:r w:rsidR="00954BBE" w:rsidRPr="00954BBE">
        <w:rPr>
          <w:rFonts w:ascii="Times New Roman" w:hAnsi="Times New Roman" w:cs="Times New Roman"/>
          <w:sz w:val="24"/>
          <w:szCs w:val="24"/>
        </w:rPr>
        <w:t>Dz. U. z 2020 r. poz. 514 z późn. zm.</w:t>
      </w:r>
      <w:r w:rsidR="00154B49" w:rsidRPr="00154B49">
        <w:rPr>
          <w:rFonts w:ascii="Times New Roman" w:hAnsi="Times New Roman" w:cs="Times New Roman"/>
          <w:sz w:val="24"/>
          <w:szCs w:val="24"/>
        </w:rPr>
        <w:t>), ustawy z dnia 31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1959 r. o </w:t>
      </w:r>
      <w:r w:rsidR="00154B49" w:rsidRPr="00154B49">
        <w:rPr>
          <w:rFonts w:ascii="Times New Roman" w:hAnsi="Times New Roman" w:cs="Times New Roman"/>
          <w:sz w:val="24"/>
          <w:szCs w:val="24"/>
        </w:rPr>
        <w:t>cmentarzach i chowaniu zmarłych (</w:t>
      </w:r>
      <w:r w:rsidR="00954BBE" w:rsidRPr="00954BBE">
        <w:rPr>
          <w:rFonts w:ascii="Times New Roman" w:hAnsi="Times New Roman" w:cs="Times New Roman"/>
          <w:sz w:val="24"/>
          <w:szCs w:val="24"/>
        </w:rPr>
        <w:t>Dz. U. z 2020 r. poz. 1947</w:t>
      </w:r>
      <w:r w:rsidR="00154B49" w:rsidRPr="00154B49">
        <w:rPr>
          <w:rFonts w:ascii="Times New Roman" w:hAnsi="Times New Roman" w:cs="Times New Roman"/>
          <w:sz w:val="24"/>
          <w:szCs w:val="24"/>
        </w:rPr>
        <w:t>), rozporządzenia Ministra Zdrowia z dnia 11 lutego 2015 r. w sprawie wzoru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karty zgonu (</w:t>
      </w:r>
      <w:r w:rsidR="00954BBE" w:rsidRPr="00954BBE">
        <w:rPr>
          <w:rFonts w:ascii="Times New Roman" w:hAnsi="Times New Roman" w:cs="Times New Roman"/>
          <w:sz w:val="24"/>
          <w:szCs w:val="24"/>
        </w:rPr>
        <w:t>Dz. U. z 2019 r. poz. 1085</w:t>
      </w:r>
      <w:r w:rsidR="00154B49" w:rsidRPr="00154B49">
        <w:rPr>
          <w:rFonts w:ascii="Times New Roman" w:hAnsi="Times New Roman" w:cs="Times New Roman"/>
          <w:sz w:val="24"/>
          <w:szCs w:val="24"/>
        </w:rPr>
        <w:t>), rozporządzenia Ministra Zdrowia i Opieki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Społecznej z dnia 3 sierpnia 1961 r. w sprawie stwierdzenia zgonu i jego przyczyny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(Dz. U. z 1961 r.</w:t>
      </w:r>
      <w:r w:rsidR="00E95957">
        <w:rPr>
          <w:rFonts w:ascii="Times New Roman" w:hAnsi="Times New Roman" w:cs="Times New Roman"/>
          <w:sz w:val="24"/>
          <w:szCs w:val="24"/>
        </w:rPr>
        <w:t xml:space="preserve"> Nr 39</w:t>
      </w:r>
      <w:r w:rsidR="00154B49" w:rsidRPr="00154B49">
        <w:rPr>
          <w:rFonts w:ascii="Times New Roman" w:hAnsi="Times New Roman" w:cs="Times New Roman"/>
          <w:sz w:val="24"/>
          <w:szCs w:val="24"/>
        </w:rPr>
        <w:t xml:space="preserve"> poz. 202).</w:t>
      </w:r>
    </w:p>
    <w:p w:rsidR="00154B49" w:rsidRPr="00154B49" w:rsidRDefault="00F34D15" w:rsidP="005E6E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154B49" w:rsidRPr="00154B49">
        <w:rPr>
          <w:rFonts w:ascii="Times New Roman" w:hAnsi="Times New Roman" w:cs="Times New Roman"/>
          <w:sz w:val="24"/>
          <w:szCs w:val="24"/>
        </w:rPr>
        <w:t>Spory powstałe przy wykonywaniu mniejszej umowy rozpatrywane będą przez sąd</w:t>
      </w:r>
      <w:r w:rsidR="007D6FC8">
        <w:rPr>
          <w:rFonts w:ascii="Times New Roman" w:hAnsi="Times New Roman" w:cs="Times New Roman"/>
          <w:sz w:val="24"/>
          <w:szCs w:val="24"/>
        </w:rPr>
        <w:t xml:space="preserve"> </w:t>
      </w:r>
      <w:r w:rsidR="00154B49" w:rsidRPr="00154B49">
        <w:rPr>
          <w:rFonts w:ascii="Times New Roman" w:hAnsi="Times New Roman" w:cs="Times New Roman"/>
          <w:sz w:val="24"/>
          <w:szCs w:val="24"/>
        </w:rPr>
        <w:t>właściwy miejscowo dla siedziby Zamawiającego.</w:t>
      </w:r>
    </w:p>
    <w:p w:rsidR="00154B49" w:rsidRPr="00154B49" w:rsidRDefault="0026255E" w:rsidP="005E6EB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154B49" w:rsidRPr="00154B49">
        <w:rPr>
          <w:rFonts w:ascii="Times New Roman" w:hAnsi="Times New Roman" w:cs="Times New Roman"/>
          <w:sz w:val="24"/>
          <w:szCs w:val="24"/>
        </w:rPr>
        <w:t>.</w:t>
      </w:r>
    </w:p>
    <w:p w:rsidR="00154B49" w:rsidRPr="00154B49" w:rsidRDefault="00154B49" w:rsidP="00F34D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</w:t>
      </w:r>
      <w:r w:rsidR="005E6EB6"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>Stron.</w:t>
      </w:r>
    </w:p>
    <w:p w:rsidR="005E6EB6" w:rsidRDefault="005E6EB6" w:rsidP="00154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6EB6" w:rsidRDefault="005E6EB6" w:rsidP="00154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4D15" w:rsidRDefault="00154B49" w:rsidP="005E6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="005E6EB6">
        <w:rPr>
          <w:rFonts w:ascii="Times New Roman" w:hAnsi="Times New Roman" w:cs="Times New Roman"/>
          <w:sz w:val="24"/>
          <w:szCs w:val="24"/>
        </w:rPr>
        <w:tab/>
      </w:r>
      <w:r w:rsidRPr="00154B49">
        <w:rPr>
          <w:rFonts w:ascii="Times New Roman" w:hAnsi="Times New Roman" w:cs="Times New Roman"/>
          <w:sz w:val="24"/>
          <w:szCs w:val="24"/>
        </w:rPr>
        <w:t>Wykonawca</w:t>
      </w:r>
    </w:p>
    <w:p w:rsidR="00F34D15" w:rsidRDefault="00F3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D15" w:rsidRDefault="00F34D15" w:rsidP="005E6E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34D15" w:rsidSect="0026255E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154B49" w:rsidRDefault="00F34D15" w:rsidP="00F34D1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34D15">
        <w:rPr>
          <w:rFonts w:ascii="Times New Roman" w:hAnsi="Times New Roman" w:cs="Times New Roman"/>
          <w:sz w:val="20"/>
          <w:szCs w:val="24"/>
        </w:rPr>
        <w:lastRenderedPageBreak/>
        <w:t>Załącznik do umowy o świadczenie usług stwierdzenia zgonu na terenie powiatu sokólskiego</w:t>
      </w:r>
    </w:p>
    <w:p w:rsidR="00F34D15" w:rsidRDefault="00F34D15" w:rsidP="00F34D1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4D15" w:rsidRDefault="00F34D15" w:rsidP="00F34D1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4D15" w:rsidRDefault="00F34D15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PRZYJECIA ZLECENIA </w:t>
      </w:r>
      <w:r w:rsidRPr="00154B49">
        <w:rPr>
          <w:rFonts w:ascii="Times New Roman" w:hAnsi="Times New Roman" w:cs="Times New Roman"/>
          <w:sz w:val="24"/>
          <w:szCs w:val="24"/>
        </w:rPr>
        <w:t>STWIERDZENIA ZGONU,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B49">
        <w:rPr>
          <w:rFonts w:ascii="Times New Roman" w:hAnsi="Times New Roman" w:cs="Times New Roman"/>
          <w:sz w:val="24"/>
          <w:szCs w:val="24"/>
        </w:rPr>
        <w:t xml:space="preserve">PRZYCZYNY </w:t>
      </w:r>
    </w:p>
    <w:p w:rsidR="00F34D15" w:rsidRDefault="00F34D15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49">
        <w:rPr>
          <w:rFonts w:ascii="Times New Roman" w:hAnsi="Times New Roman" w:cs="Times New Roman"/>
          <w:sz w:val="24"/>
          <w:szCs w:val="24"/>
        </w:rPr>
        <w:t>ORAZ WYSTAWIENIA KARTY ZGONU OSOBOM ZMARŁYM NA TERENIE POWIATU</w:t>
      </w:r>
      <w:r>
        <w:rPr>
          <w:rFonts w:ascii="Times New Roman" w:hAnsi="Times New Roman" w:cs="Times New Roman"/>
          <w:sz w:val="24"/>
          <w:szCs w:val="24"/>
        </w:rPr>
        <w:t xml:space="preserve"> SOKÓLSKIEGO</w:t>
      </w:r>
    </w:p>
    <w:p w:rsidR="00F34D15" w:rsidRDefault="00F34D15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D15" w:rsidRDefault="00F34D15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79" w:type="dxa"/>
        <w:tblLook w:val="04A0" w:firstRow="1" w:lastRow="0" w:firstColumn="1" w:lastColumn="0" w:noHBand="0" w:noVBand="1"/>
      </w:tblPr>
      <w:tblGrid>
        <w:gridCol w:w="570"/>
        <w:gridCol w:w="3280"/>
        <w:gridCol w:w="2423"/>
        <w:gridCol w:w="4706"/>
        <w:gridCol w:w="3100"/>
      </w:tblGrid>
      <w:tr w:rsidR="00F34D15" w:rsidRPr="00F21976" w:rsidTr="00F21976">
        <w:trPr>
          <w:trHeight w:val="906"/>
        </w:trPr>
        <w:tc>
          <w:tcPr>
            <w:tcW w:w="565" w:type="dxa"/>
            <w:vAlign w:val="center"/>
          </w:tcPr>
          <w:p w:rsidR="00F34D15" w:rsidRPr="00F21976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1" w:type="dxa"/>
            <w:vAlign w:val="center"/>
          </w:tcPr>
          <w:p w:rsidR="00F34D15" w:rsidRPr="00F21976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Miejsce zgonu</w:t>
            </w:r>
          </w:p>
        </w:tc>
        <w:tc>
          <w:tcPr>
            <w:tcW w:w="2424" w:type="dxa"/>
            <w:vAlign w:val="center"/>
          </w:tcPr>
          <w:p w:rsidR="00F34D15" w:rsidRPr="00F21976" w:rsidRDefault="0026255E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F34D15"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godzina</w:t>
            </w:r>
          </w:p>
        </w:tc>
        <w:tc>
          <w:tcPr>
            <w:tcW w:w="4708" w:type="dxa"/>
            <w:vAlign w:val="center"/>
          </w:tcPr>
          <w:p w:rsidR="00F34D15" w:rsidRPr="00F21976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zmarłego</w:t>
            </w:r>
          </w:p>
        </w:tc>
        <w:tc>
          <w:tcPr>
            <w:tcW w:w="3101" w:type="dxa"/>
            <w:vAlign w:val="center"/>
          </w:tcPr>
          <w:p w:rsidR="00F21976" w:rsidRPr="00F21976" w:rsidRDefault="0026255E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 w:rsidR="00F21976"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przedstawiciela instytucji zlecającej</w:t>
            </w:r>
          </w:p>
          <w:p w:rsidR="00F34D15" w:rsidRPr="00F21976" w:rsidRDefault="00F21976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76">
              <w:rPr>
                <w:rFonts w:ascii="Times New Roman" w:hAnsi="Times New Roman" w:cs="Times New Roman"/>
                <w:b/>
                <w:sz w:val="24"/>
                <w:szCs w:val="24"/>
              </w:rPr>
              <w:t>(KPP w Sokółce, Starostwo)</w:t>
            </w:r>
          </w:p>
        </w:tc>
      </w:tr>
      <w:tr w:rsidR="00F34D15" w:rsidTr="00F21976">
        <w:trPr>
          <w:trHeight w:val="592"/>
        </w:trPr>
        <w:tc>
          <w:tcPr>
            <w:tcW w:w="565" w:type="dxa"/>
            <w:vAlign w:val="center"/>
          </w:tcPr>
          <w:p w:rsidR="00F34D15" w:rsidRPr="00F21976" w:rsidRDefault="00F34D15" w:rsidP="00F2197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15" w:rsidTr="00F21976">
        <w:trPr>
          <w:trHeight w:val="592"/>
        </w:trPr>
        <w:tc>
          <w:tcPr>
            <w:tcW w:w="565" w:type="dxa"/>
            <w:vAlign w:val="center"/>
          </w:tcPr>
          <w:p w:rsidR="00F34D15" w:rsidRPr="00F21976" w:rsidRDefault="00F34D15" w:rsidP="00F2197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15" w:rsidTr="00F21976">
        <w:trPr>
          <w:trHeight w:val="592"/>
        </w:trPr>
        <w:tc>
          <w:tcPr>
            <w:tcW w:w="565" w:type="dxa"/>
            <w:vAlign w:val="center"/>
          </w:tcPr>
          <w:p w:rsidR="00F34D15" w:rsidRPr="00F21976" w:rsidRDefault="00F34D15" w:rsidP="00F2197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15" w:rsidTr="00F21976">
        <w:trPr>
          <w:trHeight w:val="564"/>
        </w:trPr>
        <w:tc>
          <w:tcPr>
            <w:tcW w:w="565" w:type="dxa"/>
            <w:vAlign w:val="center"/>
          </w:tcPr>
          <w:p w:rsidR="00F34D15" w:rsidRPr="00F21976" w:rsidRDefault="00F34D15" w:rsidP="00F2197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F34D15" w:rsidRDefault="00F34D15" w:rsidP="00F21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D15" w:rsidRDefault="00F34D15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976" w:rsidRDefault="00F21976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976" w:rsidRDefault="00F21976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976" w:rsidRDefault="00F21976" w:rsidP="00F34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976" w:rsidRDefault="00F21976" w:rsidP="00F2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21976" w:rsidRPr="00F34D15" w:rsidRDefault="00F21976" w:rsidP="00F21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 Zleceniobiorcy</w:t>
      </w:r>
    </w:p>
    <w:sectPr w:rsidR="00F21976" w:rsidRPr="00F34D15" w:rsidSect="00F34D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ABA"/>
    <w:multiLevelType w:val="hybridMultilevel"/>
    <w:tmpl w:val="6FFEC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5"/>
    <w:rsid w:val="00154B49"/>
    <w:rsid w:val="001652D9"/>
    <w:rsid w:val="00251285"/>
    <w:rsid w:val="0026255E"/>
    <w:rsid w:val="005E6EB6"/>
    <w:rsid w:val="00642088"/>
    <w:rsid w:val="00793C66"/>
    <w:rsid w:val="007D6FC8"/>
    <w:rsid w:val="008106D0"/>
    <w:rsid w:val="00954BBE"/>
    <w:rsid w:val="00C96307"/>
    <w:rsid w:val="00E95957"/>
    <w:rsid w:val="00F21976"/>
    <w:rsid w:val="00F34D15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01B"/>
  <w15:chartTrackingRefBased/>
  <w15:docId w15:val="{9ECFCF1B-6589-4700-8462-D923EB8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Kabelis</dc:creator>
  <cp:keywords/>
  <dc:description/>
  <cp:lastModifiedBy>Radosław Kabelis</cp:lastModifiedBy>
  <cp:revision>5</cp:revision>
  <cp:lastPrinted>2020-12-28T08:37:00Z</cp:lastPrinted>
  <dcterms:created xsi:type="dcterms:W3CDTF">2020-12-16T10:45:00Z</dcterms:created>
  <dcterms:modified xsi:type="dcterms:W3CDTF">2020-12-28T09:28:00Z</dcterms:modified>
</cp:coreProperties>
</file>